
<file path=[Content_Types].xml><?xml version="1.0" encoding="utf-8"?>
<Types xmlns="http://schemas.openxmlformats.org/package/2006/content-types">
  <Default Extension="xml" ContentType="application/xml"/>
  <Default Extension="tiff" ContentType="image/tif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14F3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31A585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852A76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99BA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99B93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F899F0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2A67DD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8A3661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73D52FB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37C1A2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025</w:t>
      </w:r>
      <w:r>
        <w:fldChar w:fldCharType="end"/>
      </w:r>
      <w:bookmarkEnd w:id="7"/>
    </w:p>
    <w:p w14:paraId="68E077B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4CD981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9B57ADF">
      <w:pPr>
        <w:pStyle w:val="50"/>
        <w:framePr w:w="9639" w:h="6976" w:hRule="exact" w:hSpace="0" w:vSpace="0" w:wrap="around" w:hAnchor="page" w:y="6408"/>
        <w:jc w:val="center"/>
        <w:rPr>
          <w:rFonts w:ascii="黑体" w:hAnsi="黑体" w:eastAsia="黑体"/>
          <w:b w:val="0"/>
          <w:bCs w:val="0"/>
          <w:w w:val="100"/>
        </w:rPr>
      </w:pPr>
    </w:p>
    <w:p w14:paraId="588DB73F">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食醋中酿造食醋含量的测定 非线性化学指纹图谱法</w:t>
      </w:r>
      <w:r>
        <w:fldChar w:fldCharType="end"/>
      </w:r>
      <w:bookmarkEnd w:id="9"/>
    </w:p>
    <w:p w14:paraId="454B047C">
      <w:pPr>
        <w:framePr w:w="9639" w:h="6974" w:hRule="exact" w:wrap="around" w:vAnchor="page" w:hAnchor="page" w:x="1419" w:y="6408" w:anchorLock="1"/>
        <w:ind w:left="-1418"/>
      </w:pPr>
    </w:p>
    <w:p w14:paraId="67082164">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Determination of the Content of Fermented Vinegar in Commercial Vinegar,  Nonlinear Chemical Fingerprint</w:t>
      </w:r>
      <w:r>
        <w:rPr>
          <w:rFonts w:ascii="黑体" w:hAnsi="黑体" w:eastAsia="黑体"/>
          <w:szCs w:val="28"/>
        </w:rPr>
        <w:fldChar w:fldCharType="end"/>
      </w:r>
      <w:bookmarkEnd w:id="10"/>
    </w:p>
    <w:p w14:paraId="7F56ED46">
      <w:pPr>
        <w:framePr w:w="9639" w:h="6974" w:hRule="exact" w:wrap="around" w:vAnchor="page" w:hAnchor="page" w:x="1419" w:y="6408" w:anchorLock="1"/>
        <w:spacing w:line="760" w:lineRule="exact"/>
        <w:ind w:left="-1418"/>
      </w:pPr>
    </w:p>
    <w:p w14:paraId="1C3204D9">
      <w:pPr>
        <w:pStyle w:val="125"/>
        <w:framePr w:w="9639" w:h="6974" w:hRule="exact" w:wrap="around" w:vAnchor="page" w:hAnchor="page" w:x="1419" w:y="6408" w:anchorLock="1"/>
        <w:textAlignment w:val="bottom"/>
        <w:rPr>
          <w:rFonts w:eastAsia="黑体"/>
          <w:szCs w:val="28"/>
        </w:rPr>
      </w:pPr>
    </w:p>
    <w:p w14:paraId="5F3BF18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444502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247A16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E6B995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55010A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A687D26">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636BA4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6F5CF8">
      <w:pPr>
        <w:pStyle w:val="91"/>
        <w:spacing w:after="468"/>
        <w:rPr>
          <w:rFonts w:hint="eastAsia"/>
        </w:rPr>
      </w:pPr>
      <w:bookmarkStart w:id="21" w:name="BookMark1"/>
      <w:bookmarkStart w:id="22" w:name="_Toc192238648"/>
      <w:r>
        <w:rPr>
          <w:rFonts w:hint="eastAsia"/>
          <w:spacing w:val="320"/>
        </w:rPr>
        <w:t>目</w:t>
      </w:r>
      <w:r>
        <w:rPr>
          <w:rFonts w:hint="eastAsia"/>
        </w:rPr>
        <w:t>次</w:t>
      </w:r>
    </w:p>
    <w:p w14:paraId="17DD49DA">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"_Toc192238666" </w:instrText>
      </w:r>
      <w:r>
        <w:fldChar w:fldCharType="separate"/>
      </w:r>
      <w:r>
        <w:rPr>
          <w:rStyle w:val="32"/>
        </w:rPr>
        <w:t>前言</w:t>
      </w:r>
      <w:r>
        <w:tab/>
      </w:r>
      <w:r>
        <w:fldChar w:fldCharType="begin"/>
      </w:r>
      <w:r>
        <w:instrText xml:space="preserve"> PAGEREF _Toc192238666 \h </w:instrText>
      </w:r>
      <w:r>
        <w:fldChar w:fldCharType="separate"/>
      </w:r>
      <w:r>
        <w:t>II</w:t>
      </w:r>
      <w:r>
        <w:fldChar w:fldCharType="end"/>
      </w:r>
      <w:r>
        <w:fldChar w:fldCharType="end"/>
      </w:r>
    </w:p>
    <w:p w14:paraId="5A7813B6">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"_Toc192238667" </w:instrText>
      </w:r>
      <w:r>
        <w:fldChar w:fldCharType="separate"/>
      </w:r>
      <w:r>
        <w:rPr>
          <w:rStyle w:val="32"/>
        </w:rPr>
        <w:t>1  范围</w:t>
      </w:r>
      <w:r>
        <w:tab/>
      </w:r>
      <w:r>
        <w:fldChar w:fldCharType="begin"/>
      </w:r>
      <w:r>
        <w:instrText xml:space="preserve"> PAGEREF _Toc192238667 \h </w:instrText>
      </w:r>
      <w:r>
        <w:fldChar w:fldCharType="separate"/>
      </w:r>
      <w:r>
        <w:t>1</w:t>
      </w:r>
      <w:r>
        <w:fldChar w:fldCharType="end"/>
      </w:r>
      <w:r>
        <w:fldChar w:fldCharType="end"/>
      </w:r>
    </w:p>
    <w:p w14:paraId="31C64220">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"_Toc192238668" </w:instrText>
      </w:r>
      <w:r>
        <w:fldChar w:fldCharType="separate"/>
      </w:r>
      <w:r>
        <w:rPr>
          <w:rStyle w:val="32"/>
        </w:rPr>
        <w:t>2  规范性引用文件</w:t>
      </w:r>
      <w:r>
        <w:tab/>
      </w:r>
      <w:r>
        <w:fldChar w:fldCharType="begin"/>
      </w:r>
      <w:r>
        <w:instrText xml:space="preserve"> PAGEREF _Toc192238668 \h </w:instrText>
      </w:r>
      <w:r>
        <w:fldChar w:fldCharType="separate"/>
      </w:r>
      <w:r>
        <w:t>1</w:t>
      </w:r>
      <w:r>
        <w:fldChar w:fldCharType="end"/>
      </w:r>
      <w:r>
        <w:fldChar w:fldCharType="end"/>
      </w:r>
    </w:p>
    <w:p w14:paraId="0CE8935B">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"_Toc192238669" </w:instrText>
      </w:r>
      <w:r>
        <w:fldChar w:fldCharType="separate"/>
      </w:r>
      <w:r>
        <w:rPr>
          <w:rStyle w:val="32"/>
        </w:rPr>
        <w:t>3  术语和定义</w:t>
      </w:r>
      <w:r>
        <w:tab/>
      </w:r>
      <w:r>
        <w:fldChar w:fldCharType="begin"/>
      </w:r>
      <w:r>
        <w:instrText xml:space="preserve"> PAGEREF _Toc192238669 \h </w:instrText>
      </w:r>
      <w:r>
        <w:fldChar w:fldCharType="separate"/>
      </w:r>
      <w:r>
        <w:t>1</w:t>
      </w:r>
      <w:r>
        <w:fldChar w:fldCharType="end"/>
      </w:r>
      <w:r>
        <w:fldChar w:fldCharType="end"/>
      </w:r>
    </w:p>
    <w:p w14:paraId="218FCA45">
      <w:pPr>
        <w:pStyle w:val="24"/>
        <w:rPr>
          <w:rFonts w:asciiTheme="minorHAnsi" w:hAnsiTheme="minorHAnsi" w:eastAsiaTheme="minorEastAsia" w:cstheme="minorBidi"/>
          <w:szCs w:val="22"/>
        </w:rPr>
      </w:pPr>
      <w:r>
        <w:fldChar w:fldCharType="begin"/>
      </w:r>
      <w:r>
        <w:instrText xml:space="preserve"> HYPERLINK \l "_Toc192238670" </w:instrText>
      </w:r>
      <w:r>
        <w:fldChar w:fldCharType="separate"/>
      </w:r>
      <w:r>
        <w:rPr>
          <w:rStyle w:val="32"/>
          <w14:scene3d>
            <w14:lightRig w14:rig="threePt" w14:dir="t">
              <w14:rot w14:lat="0" w14:lon="0" w14:rev="0"/>
            </w14:lightRig>
          </w14:scene3d>
        </w:rPr>
        <w:t xml:space="preserve">3.1 </w:t>
      </w:r>
      <w:r>
        <w:rPr>
          <w:rStyle w:val="32"/>
        </w:rPr>
        <w:t xml:space="preserve"> 传统酿造食醋</w:t>
      </w:r>
      <w:r>
        <w:tab/>
      </w:r>
      <w:r>
        <w:fldChar w:fldCharType="begin"/>
      </w:r>
      <w:r>
        <w:instrText xml:space="preserve"> PAGEREF _Toc192238670 \h </w:instrText>
      </w:r>
      <w:r>
        <w:fldChar w:fldCharType="separate"/>
      </w:r>
      <w:r>
        <w:t>1</w:t>
      </w:r>
      <w:r>
        <w:fldChar w:fldCharType="end"/>
      </w:r>
      <w:r>
        <w:fldChar w:fldCharType="end"/>
      </w:r>
    </w:p>
    <w:p w14:paraId="50CFB244">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"_Toc192238671" </w:instrText>
      </w:r>
      <w:r>
        <w:fldChar w:fldCharType="separate"/>
      </w:r>
      <w:r>
        <w:rPr>
          <w:rStyle w:val="32"/>
        </w:rPr>
        <w:t>4  原理</w:t>
      </w:r>
      <w:r>
        <w:tab/>
      </w:r>
      <w:r>
        <w:fldChar w:fldCharType="begin"/>
      </w:r>
      <w:r>
        <w:instrText xml:space="preserve"> PAGEREF _Toc192238671 \h </w:instrText>
      </w:r>
      <w:r>
        <w:fldChar w:fldCharType="separate"/>
      </w:r>
      <w:r>
        <w:t>1</w:t>
      </w:r>
      <w:r>
        <w:fldChar w:fldCharType="end"/>
      </w:r>
      <w:r>
        <w:fldChar w:fldCharType="end"/>
      </w:r>
    </w:p>
    <w:p w14:paraId="3009A1E6">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"_Toc192238672" </w:instrText>
      </w:r>
      <w:r>
        <w:fldChar w:fldCharType="separate"/>
      </w:r>
      <w:r>
        <w:rPr>
          <w:rStyle w:val="32"/>
        </w:rPr>
        <w:t>5  试剂与材料</w:t>
      </w:r>
      <w:r>
        <w:tab/>
      </w:r>
      <w:r>
        <w:fldChar w:fldCharType="begin"/>
      </w:r>
      <w:r>
        <w:instrText xml:space="preserve"> PAGEREF _Toc192238672 \h </w:instrText>
      </w:r>
      <w:r>
        <w:fldChar w:fldCharType="separate"/>
      </w:r>
      <w:r>
        <w:t>1</w:t>
      </w:r>
      <w:r>
        <w:fldChar w:fldCharType="end"/>
      </w:r>
      <w:r>
        <w:fldChar w:fldCharType="end"/>
      </w:r>
    </w:p>
    <w:p w14:paraId="21FE93F7">
      <w:pPr>
        <w:pStyle w:val="24"/>
        <w:rPr>
          <w:rFonts w:asciiTheme="minorHAnsi" w:hAnsiTheme="minorHAnsi" w:eastAsiaTheme="minorEastAsia" w:cstheme="minorBidi"/>
          <w:szCs w:val="22"/>
        </w:rPr>
      </w:pPr>
      <w:r>
        <w:fldChar w:fldCharType="begin"/>
      </w:r>
      <w:r>
        <w:instrText xml:space="preserve"> HYPERLINK \l "_Toc192238673" </w:instrText>
      </w:r>
      <w:r>
        <w:fldChar w:fldCharType="separate"/>
      </w:r>
      <w:r>
        <w:rPr>
          <w:rStyle w:val="32"/>
          <w14:scene3d>
            <w14:lightRig w14:rig="threePt" w14:dir="t">
              <w14:rot w14:lat="0" w14:lon="0" w14:rev="0"/>
            </w14:lightRig>
          </w14:scene3d>
        </w:rPr>
        <w:t xml:space="preserve">5.1 </w:t>
      </w:r>
      <w:r>
        <w:rPr>
          <w:rStyle w:val="32"/>
        </w:rPr>
        <w:t xml:space="preserve"> 通用要求</w:t>
      </w:r>
      <w:r>
        <w:tab/>
      </w:r>
      <w:r>
        <w:fldChar w:fldCharType="begin"/>
      </w:r>
      <w:r>
        <w:instrText xml:space="preserve"> PAGEREF _Toc192238673 \h </w:instrText>
      </w:r>
      <w:r>
        <w:fldChar w:fldCharType="separate"/>
      </w:r>
      <w:r>
        <w:t>1</w:t>
      </w:r>
      <w:r>
        <w:fldChar w:fldCharType="end"/>
      </w:r>
      <w:r>
        <w:fldChar w:fldCharType="end"/>
      </w:r>
    </w:p>
    <w:p w14:paraId="6E22F839">
      <w:pPr>
        <w:pStyle w:val="24"/>
        <w:rPr>
          <w:rFonts w:asciiTheme="minorHAnsi" w:hAnsiTheme="minorHAnsi" w:eastAsiaTheme="minorEastAsia" w:cstheme="minorBidi"/>
          <w:szCs w:val="22"/>
        </w:rPr>
      </w:pPr>
      <w:r>
        <w:fldChar w:fldCharType="begin"/>
      </w:r>
      <w:r>
        <w:instrText xml:space="preserve"> HYPERLINK \l "_Toc192238674" </w:instrText>
      </w:r>
      <w:r>
        <w:fldChar w:fldCharType="separate"/>
      </w:r>
      <w:r>
        <w:rPr>
          <w:rStyle w:val="32"/>
          <w14:scene3d>
            <w14:lightRig w14:rig="threePt" w14:dir="t">
              <w14:rot w14:lat="0" w14:lon="0" w14:rev="0"/>
            </w14:lightRig>
          </w14:scene3d>
        </w:rPr>
        <w:t xml:space="preserve">5.2 </w:t>
      </w:r>
      <w:r>
        <w:rPr>
          <w:rStyle w:val="32"/>
        </w:rPr>
        <w:t xml:space="preserve"> 试剂</w:t>
      </w:r>
      <w:r>
        <w:tab/>
      </w:r>
      <w:r>
        <w:fldChar w:fldCharType="begin"/>
      </w:r>
      <w:r>
        <w:instrText xml:space="preserve"> PAGEREF _Toc192238674 \h </w:instrText>
      </w:r>
      <w:r>
        <w:fldChar w:fldCharType="separate"/>
      </w:r>
      <w:r>
        <w:t>1</w:t>
      </w:r>
      <w:r>
        <w:fldChar w:fldCharType="end"/>
      </w:r>
      <w:r>
        <w:fldChar w:fldCharType="end"/>
      </w:r>
    </w:p>
    <w:p w14:paraId="34D8BA2A">
      <w:pPr>
        <w:pStyle w:val="24"/>
        <w:rPr>
          <w:rFonts w:asciiTheme="minorHAnsi" w:hAnsiTheme="minorHAnsi" w:eastAsiaTheme="minorEastAsia" w:cstheme="minorBidi"/>
          <w:szCs w:val="22"/>
        </w:rPr>
      </w:pPr>
      <w:r>
        <w:fldChar w:fldCharType="begin"/>
      </w:r>
      <w:r>
        <w:instrText xml:space="preserve"> HYPERLINK \l "_Toc192238675" </w:instrText>
      </w:r>
      <w:r>
        <w:fldChar w:fldCharType="separate"/>
      </w:r>
      <w:r>
        <w:rPr>
          <w:rStyle w:val="32"/>
          <w14:scene3d>
            <w14:lightRig w14:rig="threePt" w14:dir="t">
              <w14:rot w14:lat="0" w14:lon="0" w14:rev="0"/>
            </w14:lightRig>
          </w14:scene3d>
        </w:rPr>
        <w:t xml:space="preserve">5.3 </w:t>
      </w:r>
      <w:r>
        <w:rPr>
          <w:rStyle w:val="32"/>
        </w:rPr>
        <w:t xml:space="preserve"> 试剂配制</w:t>
      </w:r>
      <w:r>
        <w:tab/>
      </w:r>
      <w:r>
        <w:fldChar w:fldCharType="begin"/>
      </w:r>
      <w:r>
        <w:instrText xml:space="preserve"> PAGEREF _Toc192238675 \h </w:instrText>
      </w:r>
      <w:r>
        <w:fldChar w:fldCharType="separate"/>
      </w:r>
      <w:r>
        <w:t>2</w:t>
      </w:r>
      <w:r>
        <w:fldChar w:fldCharType="end"/>
      </w:r>
      <w:r>
        <w:fldChar w:fldCharType="end"/>
      </w:r>
    </w:p>
    <w:p w14:paraId="39A7609B">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"_Toc192238676" </w:instrText>
      </w:r>
      <w:r>
        <w:fldChar w:fldCharType="separate"/>
      </w:r>
      <w:r>
        <w:rPr>
          <w:rStyle w:val="32"/>
        </w:rPr>
        <w:t>6  仪器和设备</w:t>
      </w:r>
      <w:r>
        <w:tab/>
      </w:r>
      <w:r>
        <w:fldChar w:fldCharType="begin"/>
      </w:r>
      <w:r>
        <w:instrText xml:space="preserve"> PAGEREF _Toc192238676 \h </w:instrText>
      </w:r>
      <w:r>
        <w:fldChar w:fldCharType="separate"/>
      </w:r>
      <w:r>
        <w:t>2</w:t>
      </w:r>
      <w:r>
        <w:fldChar w:fldCharType="end"/>
      </w:r>
      <w:r>
        <w:fldChar w:fldCharType="end"/>
      </w:r>
    </w:p>
    <w:p w14:paraId="51AD50AC">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"_Toc192238681" </w:instrText>
      </w:r>
      <w:r>
        <w:fldChar w:fldCharType="separate"/>
      </w:r>
      <w:r>
        <w:rPr>
          <w:rStyle w:val="32"/>
        </w:rPr>
        <w:t>7  分析步骤</w:t>
      </w:r>
      <w:r>
        <w:tab/>
      </w:r>
      <w:r>
        <w:fldChar w:fldCharType="begin"/>
      </w:r>
      <w:r>
        <w:instrText xml:space="preserve"> PAGEREF _Toc192238681 \h </w:instrText>
      </w:r>
      <w:r>
        <w:fldChar w:fldCharType="separate"/>
      </w:r>
      <w:r>
        <w:t>2</w:t>
      </w:r>
      <w:r>
        <w:fldChar w:fldCharType="end"/>
      </w:r>
      <w:r>
        <w:fldChar w:fldCharType="end"/>
      </w:r>
    </w:p>
    <w:p w14:paraId="31D768D3">
      <w:pPr>
        <w:pStyle w:val="24"/>
        <w:rPr>
          <w:rFonts w:asciiTheme="minorHAnsi" w:hAnsiTheme="minorHAnsi" w:eastAsiaTheme="minorEastAsia" w:cstheme="minorBidi"/>
          <w:szCs w:val="22"/>
        </w:rPr>
      </w:pPr>
      <w:r>
        <w:fldChar w:fldCharType="begin"/>
      </w:r>
      <w:r>
        <w:instrText xml:space="preserve"> HYPERLINK \l "_Toc192238682" </w:instrText>
      </w:r>
      <w:r>
        <w:fldChar w:fldCharType="separate"/>
      </w:r>
      <w:r>
        <w:rPr>
          <w:rStyle w:val="32"/>
          <w14:scene3d>
            <w14:lightRig w14:rig="threePt" w14:dir="t">
              <w14:rot w14:lat="0" w14:lon="0" w14:rev="0"/>
            </w14:lightRig>
          </w14:scene3d>
        </w:rPr>
        <w:t xml:space="preserve">7.1 </w:t>
      </w:r>
      <w:r>
        <w:rPr>
          <w:rStyle w:val="32"/>
        </w:rPr>
        <w:t xml:space="preserve"> 样品制备</w:t>
      </w:r>
      <w:r>
        <w:tab/>
      </w:r>
      <w:r>
        <w:fldChar w:fldCharType="begin"/>
      </w:r>
      <w:r>
        <w:instrText xml:space="preserve"> PAGEREF _Toc192238682 \h </w:instrText>
      </w:r>
      <w:r>
        <w:fldChar w:fldCharType="separate"/>
      </w:r>
      <w:r>
        <w:t>2</w:t>
      </w:r>
      <w:r>
        <w:fldChar w:fldCharType="end"/>
      </w:r>
      <w:r>
        <w:fldChar w:fldCharType="end"/>
      </w:r>
    </w:p>
    <w:p w14:paraId="42EF8805">
      <w:pPr>
        <w:pStyle w:val="24"/>
        <w:rPr>
          <w:rFonts w:asciiTheme="minorHAnsi" w:hAnsiTheme="minorHAnsi" w:eastAsiaTheme="minorEastAsia" w:cstheme="minorBidi"/>
          <w:szCs w:val="22"/>
        </w:rPr>
      </w:pPr>
      <w:r>
        <w:fldChar w:fldCharType="begin"/>
      </w:r>
      <w:r>
        <w:instrText xml:space="preserve"> HYPERLINK \l "_Toc192238683" </w:instrText>
      </w:r>
      <w:r>
        <w:fldChar w:fldCharType="separate"/>
      </w:r>
      <w:r>
        <w:rPr>
          <w:rStyle w:val="32"/>
          <w14:scene3d>
            <w14:lightRig w14:rig="threePt" w14:dir="t">
              <w14:rot w14:lat="0" w14:lon="0" w14:rev="0"/>
            </w14:lightRig>
          </w14:scene3d>
        </w:rPr>
        <w:t xml:space="preserve">7.2 </w:t>
      </w:r>
      <w:r>
        <w:rPr>
          <w:rStyle w:val="32"/>
        </w:rPr>
        <w:t xml:space="preserve"> 测定</w:t>
      </w:r>
      <w:r>
        <w:tab/>
      </w:r>
      <w:r>
        <w:fldChar w:fldCharType="begin"/>
      </w:r>
      <w:r>
        <w:instrText xml:space="preserve"> PAGEREF _Toc192238683 \h </w:instrText>
      </w:r>
      <w:r>
        <w:fldChar w:fldCharType="separate"/>
      </w:r>
      <w:r>
        <w:t>2</w:t>
      </w:r>
      <w:r>
        <w:fldChar w:fldCharType="end"/>
      </w:r>
      <w:r>
        <w:fldChar w:fldCharType="end"/>
      </w:r>
    </w:p>
    <w:p w14:paraId="11B2B0D3">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"_Toc192238684" </w:instrText>
      </w:r>
      <w:r>
        <w:fldChar w:fldCharType="separate"/>
      </w:r>
      <w:r>
        <w:rPr>
          <w:rStyle w:val="32"/>
        </w:rPr>
        <w:t>8  结果计算</w:t>
      </w:r>
      <w:r>
        <w:tab/>
      </w:r>
      <w:r>
        <w:fldChar w:fldCharType="begin"/>
      </w:r>
      <w:r>
        <w:instrText xml:space="preserve"> PAGEREF _Toc192238684 \h </w:instrText>
      </w:r>
      <w:r>
        <w:fldChar w:fldCharType="separate"/>
      </w:r>
      <w:r>
        <w:t>2</w:t>
      </w:r>
      <w:r>
        <w:fldChar w:fldCharType="end"/>
      </w:r>
      <w:r>
        <w:fldChar w:fldCharType="end"/>
      </w:r>
    </w:p>
    <w:p w14:paraId="6A2E2579">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"_Toc192238685" </w:instrText>
      </w:r>
      <w:r>
        <w:fldChar w:fldCharType="separate"/>
      </w:r>
      <w:r>
        <w:rPr>
          <w:rStyle w:val="32"/>
        </w:rPr>
        <w:t>9  精密度</w:t>
      </w:r>
      <w:r>
        <w:tab/>
      </w:r>
      <w:r>
        <w:fldChar w:fldCharType="begin"/>
      </w:r>
      <w:r>
        <w:instrText xml:space="preserve"> PAGEREF _Toc192238685 \h </w:instrText>
      </w:r>
      <w:r>
        <w:fldChar w:fldCharType="separate"/>
      </w:r>
      <w:r>
        <w:t>3</w:t>
      </w:r>
      <w:r>
        <w:fldChar w:fldCharType="end"/>
      </w:r>
      <w:r>
        <w:fldChar w:fldCharType="end"/>
      </w:r>
    </w:p>
    <w:p w14:paraId="6D3BD3C2">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"_Toc192238686" </w:instrText>
      </w:r>
      <w:r>
        <w:fldChar w:fldCharType="separate"/>
      </w:r>
      <w:r>
        <w:rPr>
          <w:rStyle w:val="32"/>
        </w:rPr>
        <w:t>附录A（资料性）  陈醋的非线性化学指纹图谱示例</w:t>
      </w:r>
      <w:r>
        <w:tab/>
      </w:r>
      <w:r>
        <w:fldChar w:fldCharType="begin"/>
      </w:r>
      <w:r>
        <w:instrText xml:space="preserve"> PAGEREF _Toc192238686 \h </w:instrText>
      </w:r>
      <w:r>
        <w:fldChar w:fldCharType="separate"/>
      </w:r>
      <w:r>
        <w:t>4</w:t>
      </w:r>
      <w:r>
        <w:fldChar w:fldCharType="end"/>
      </w:r>
      <w:r>
        <w:fldChar w:fldCharType="end"/>
      </w:r>
    </w:p>
    <w:p w14:paraId="0868B5A5">
      <w:pPr>
        <w:pStyle w:val="19"/>
        <w:tabs>
          <w:tab w:val="right" w:leader="dot" w:pos="9344"/>
        </w:tabs>
        <w:rPr>
          <w:rFonts w:asciiTheme="minorHAnsi" w:hAnsiTheme="minorHAnsi" w:eastAsiaTheme="minorEastAsia" w:cstheme="minorBidi"/>
          <w:szCs w:val="22"/>
        </w:rPr>
      </w:pPr>
      <w:r>
        <w:fldChar w:fldCharType="begin"/>
      </w:r>
      <w:r>
        <w:instrText xml:space="preserve"> HYPERLINK \l "_Toc192238687" </w:instrText>
      </w:r>
      <w:r>
        <w:fldChar w:fldCharType="separate"/>
      </w:r>
      <w:r>
        <w:rPr>
          <w:rStyle w:val="32"/>
        </w:rPr>
        <w:t>参考文献</w:t>
      </w:r>
      <w:r>
        <w:tab/>
      </w:r>
      <w:r>
        <w:fldChar w:fldCharType="begin"/>
      </w:r>
      <w:r>
        <w:instrText xml:space="preserve"> PAGEREF _Toc192238687 \h </w:instrText>
      </w:r>
      <w:r>
        <w:fldChar w:fldCharType="separate"/>
      </w:r>
      <w:r>
        <w:t>5</w:t>
      </w:r>
      <w:r>
        <w:fldChar w:fldCharType="end"/>
      </w:r>
      <w:r>
        <w:fldChar w:fldCharType="end"/>
      </w:r>
    </w:p>
    <w:p w14:paraId="34064A5C">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936E490">
      <w:pPr>
        <w:pStyle w:val="89"/>
        <w:spacing w:before="900" w:after="468"/>
      </w:pPr>
      <w:bookmarkStart w:id="23" w:name="_Toc192238666"/>
      <w:bookmarkStart w:id="24" w:name="BookMark2"/>
      <w:r>
        <w:rPr>
          <w:spacing w:val="320"/>
        </w:rPr>
        <w:t>前</w:t>
      </w:r>
      <w:r>
        <w:t>言</w:t>
      </w:r>
      <w:bookmarkEnd w:id="22"/>
      <w:bookmarkEnd w:id="23"/>
    </w:p>
    <w:p w14:paraId="0A8144E6">
      <w:pPr>
        <w:pStyle w:val="56"/>
        <w:ind w:firstLine="432"/>
        <w:rPr>
          <w:rFonts w:hint="eastAsia"/>
        </w:rPr>
      </w:pPr>
      <w:r>
        <w:rPr>
          <w:rFonts w:hint="eastAsia"/>
        </w:rPr>
        <w:t>本文件按照GB/T 1.1—2020《标准化工作导则  第1部分：标准化文件的结构和起草规则》的规定起草。</w:t>
      </w:r>
    </w:p>
    <w:p w14:paraId="7C2B2263">
      <w:pPr>
        <w:pStyle w:val="56"/>
        <w:ind w:firstLine="436"/>
        <w:rPr>
          <w:rFonts w:hAnsi="宋体" w:cs="宋体"/>
          <w:spacing w:val="8"/>
          <w:sz w:val="21"/>
          <w:szCs w:val="21"/>
        </w:rPr>
      </w:pPr>
      <w:r>
        <w:rPr>
          <w:rFonts w:hAnsi="宋体" w:cs="宋体"/>
          <w:spacing w:val="9"/>
          <w:sz w:val="21"/>
          <w:szCs w:val="21"/>
        </w:rPr>
        <w:t>请注意本文件的某些内容可能涉及专利。本文件的发布机构不承担识别这些专</w:t>
      </w:r>
      <w:r>
        <w:rPr>
          <w:rFonts w:hAnsi="宋体" w:cs="宋体"/>
          <w:spacing w:val="8"/>
          <w:sz w:val="21"/>
          <w:szCs w:val="21"/>
        </w:rPr>
        <w:t>利的责任。</w:t>
      </w:r>
    </w:p>
    <w:p w14:paraId="785520FB">
      <w:pPr>
        <w:pStyle w:val="56"/>
        <w:ind w:firstLine="432"/>
        <w:rPr>
          <w:rFonts w:hint="eastAsia" w:hAnsi="宋体" w:cs="宋体"/>
          <w:spacing w:val="8"/>
          <w:sz w:val="21"/>
          <w:szCs w:val="21"/>
        </w:rPr>
      </w:pPr>
      <w:r>
        <w:rPr>
          <w:rFonts w:hint="eastAsia" w:hAnsi="宋体" w:cs="宋体"/>
          <w:spacing w:val="8"/>
          <w:sz w:val="21"/>
          <w:szCs w:val="21"/>
        </w:rPr>
        <w:t>本</w:t>
      </w:r>
      <w:r>
        <w:rPr>
          <w:rFonts w:hint="eastAsia" w:hAnsi="宋体" w:cs="宋体"/>
          <w:spacing w:val="8"/>
          <w:sz w:val="21"/>
          <w:szCs w:val="21"/>
          <w:lang w:val="en-US" w:eastAsia="zh-CN"/>
        </w:rPr>
        <w:t>文件</w:t>
      </w:r>
      <w:r>
        <w:rPr>
          <w:rFonts w:hint="eastAsia" w:hAnsi="宋体" w:cs="宋体"/>
          <w:spacing w:val="8"/>
          <w:sz w:val="21"/>
          <w:szCs w:val="21"/>
        </w:rPr>
        <w:t>由湖南省市场监督管理局提出并归口。</w:t>
      </w:r>
    </w:p>
    <w:p w14:paraId="41858695">
      <w:pPr>
        <w:pStyle w:val="56"/>
        <w:ind w:firstLine="420"/>
        <w:rPr>
          <w:rFonts w:hint="eastAsia"/>
          <w:sz w:val="21"/>
          <w:szCs w:val="21"/>
        </w:rPr>
      </w:pPr>
      <w:r>
        <w:rPr>
          <w:rFonts w:hint="eastAsia"/>
          <w:sz w:val="21"/>
          <w:szCs w:val="21"/>
        </w:rPr>
        <w:t>本</w:t>
      </w:r>
      <w:r>
        <w:rPr>
          <w:rFonts w:hint="eastAsia"/>
          <w:sz w:val="21"/>
          <w:szCs w:val="21"/>
          <w:lang w:val="en-US" w:eastAsia="zh-CN"/>
        </w:rPr>
        <w:t>文件</w:t>
      </w:r>
      <w:r>
        <w:rPr>
          <w:rFonts w:hint="eastAsia"/>
          <w:sz w:val="21"/>
          <w:szCs w:val="21"/>
        </w:rPr>
        <w:t>起草单位：</w:t>
      </w:r>
      <w:r>
        <w:rPr>
          <w:rFonts w:hint="eastAsia" w:hAnsi="宋体" w:cs="宋体"/>
          <w:spacing w:val="8"/>
          <w:sz w:val="21"/>
          <w:szCs w:val="21"/>
        </w:rPr>
        <w:t>湖南省食品质量安全技术协会</w:t>
      </w:r>
      <w:r>
        <w:rPr>
          <w:rFonts w:hint="eastAsia" w:hAnsi="宋体" w:cs="宋体"/>
          <w:spacing w:val="8"/>
          <w:sz w:val="21"/>
          <w:szCs w:val="21"/>
          <w:lang w:eastAsia="zh-CN"/>
        </w:rPr>
        <w:t>、</w:t>
      </w:r>
      <w:r>
        <w:rPr>
          <w:rFonts w:hint="eastAsia" w:hAnsi="宋体" w:cs="宋体"/>
          <w:spacing w:val="8"/>
          <w:sz w:val="21"/>
          <w:szCs w:val="21"/>
        </w:rPr>
        <w:t>中大智能科技股份有限公司、湖南省长康实业有限责任公司、湖南尚泰测控科技有限公司。</w:t>
      </w:r>
    </w:p>
    <w:p w14:paraId="027782A3">
      <w:pPr>
        <w:pStyle w:val="56"/>
        <w:ind w:firstLine="420"/>
        <w:rPr>
          <w:rFonts w:hint="eastAsia"/>
          <w:sz w:val="21"/>
          <w:szCs w:val="21"/>
        </w:rPr>
      </w:pPr>
      <w:r>
        <w:rPr>
          <w:rFonts w:hint="eastAsia"/>
          <w:sz w:val="21"/>
          <w:szCs w:val="21"/>
        </w:rPr>
        <w:t>本</w:t>
      </w:r>
      <w:r>
        <w:rPr>
          <w:rFonts w:hint="eastAsia"/>
          <w:sz w:val="21"/>
          <w:szCs w:val="21"/>
          <w:lang w:val="en-US" w:eastAsia="zh-CN"/>
        </w:rPr>
        <w:t>文件</w:t>
      </w:r>
      <w:r>
        <w:rPr>
          <w:rFonts w:hint="eastAsia"/>
          <w:sz w:val="21"/>
          <w:szCs w:val="21"/>
        </w:rPr>
        <w:t>主要起草人：</w:t>
      </w:r>
    </w:p>
    <w:p w14:paraId="27A81E99">
      <w:pPr>
        <w:pStyle w:val="56"/>
        <w:ind w:firstLine="420"/>
      </w:pPr>
    </w:p>
    <w:p w14:paraId="7520C6BE">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173F4D16">
      <w:pPr>
        <w:spacing w:line="20" w:lineRule="exact"/>
        <w:jc w:val="center"/>
        <w:rPr>
          <w:rFonts w:ascii="黑体" w:hAnsi="黑体" w:eastAsia="黑体"/>
          <w:sz w:val="32"/>
          <w:szCs w:val="32"/>
        </w:rPr>
      </w:pPr>
      <w:bookmarkStart w:id="25" w:name="BookMark4"/>
    </w:p>
    <w:p w14:paraId="6899C7DD">
      <w:pPr>
        <w:spacing w:line="20" w:lineRule="exact"/>
        <w:jc w:val="center"/>
        <w:rPr>
          <w:rFonts w:ascii="黑体" w:hAnsi="黑体" w:eastAsia="黑体"/>
          <w:sz w:val="32"/>
          <w:szCs w:val="32"/>
        </w:rPr>
      </w:pPr>
    </w:p>
    <w:sdt>
      <w:sdtPr>
        <w:tag w:val="NEW_STAND_NAME"/>
        <w:id w:val="595910757"/>
        <w:lock w:val="sdtLocked"/>
        <w:placeholder>
          <w:docPart w:val="CCAF8FC7E57E4F6BA5391515099C556D"/>
        </w:placeholder>
      </w:sdtPr>
      <w:sdtContent>
        <w:p w14:paraId="130668B7">
          <w:pPr>
            <w:pStyle w:val="177"/>
            <w:spacing w:before="3" w:beforeLines="1" w:after="686" w:afterLines="220"/>
          </w:pPr>
          <w:bookmarkStart w:id="26" w:name="NEW_STAND_NAME"/>
          <w:r>
            <w:rPr>
              <w:rFonts w:hint="eastAsia"/>
            </w:rPr>
            <w:t>食醋中酿造食醋含量的测定</w:t>
          </w:r>
          <w:r>
            <w:t xml:space="preserve"> 非线性化学指纹图谱法</w:t>
          </w:r>
        </w:p>
      </w:sdtContent>
    </w:sdt>
    <w:bookmarkEnd w:id="26"/>
    <w:p w14:paraId="656BEE7C">
      <w:pPr>
        <w:pStyle w:val="104"/>
        <w:spacing w:before="312" w:after="312"/>
      </w:pPr>
      <w:bookmarkStart w:id="27" w:name="_Toc17233333"/>
      <w:bookmarkStart w:id="28" w:name="_Toc24884211"/>
      <w:bookmarkStart w:id="29" w:name="_Toc26986771"/>
      <w:bookmarkStart w:id="30" w:name="_Toc24884218"/>
      <w:bookmarkStart w:id="31" w:name="_Toc26648465"/>
      <w:bookmarkStart w:id="32" w:name="_Toc26986530"/>
      <w:bookmarkStart w:id="33" w:name="_Toc26718930"/>
      <w:bookmarkStart w:id="34" w:name="_Toc17233325"/>
      <w:bookmarkStart w:id="35" w:name="_Toc192238667"/>
      <w:bookmarkStart w:id="36" w:name="_Toc97191423"/>
      <w:bookmarkStart w:id="37" w:name="_Toc192238649"/>
      <w:r>
        <w:rPr>
          <w:rFonts w:hint="eastAsia"/>
        </w:rPr>
        <w:t>范围</w:t>
      </w:r>
      <w:bookmarkEnd w:id="27"/>
      <w:bookmarkEnd w:id="28"/>
      <w:bookmarkEnd w:id="29"/>
      <w:bookmarkEnd w:id="30"/>
      <w:bookmarkEnd w:id="31"/>
      <w:bookmarkEnd w:id="32"/>
      <w:bookmarkEnd w:id="33"/>
      <w:bookmarkEnd w:id="34"/>
      <w:bookmarkEnd w:id="35"/>
      <w:bookmarkEnd w:id="36"/>
      <w:bookmarkEnd w:id="37"/>
    </w:p>
    <w:p w14:paraId="550641C2">
      <w:pPr>
        <w:pStyle w:val="56"/>
        <w:ind w:firstLine="420"/>
        <w:rPr>
          <w:rFonts w:hint="eastAsia"/>
        </w:rPr>
      </w:pPr>
      <w:bookmarkStart w:id="38" w:name="_Toc24884212"/>
      <w:bookmarkStart w:id="39" w:name="_Toc17233326"/>
      <w:bookmarkStart w:id="40" w:name="_Toc24884219"/>
      <w:bookmarkStart w:id="41" w:name="_Toc26648466"/>
      <w:bookmarkStart w:id="42" w:name="_Toc17233334"/>
      <w:r>
        <w:rPr>
          <w:rFonts w:hint="eastAsia"/>
        </w:rPr>
        <w:t>本标准规定了食醋中传统酿造食醋含量的测定的测定原理、试剂与材料、仪器和设备、分析步骤、结果计算、精密度等内容。</w:t>
      </w:r>
    </w:p>
    <w:p w14:paraId="02DE7AF6">
      <w:pPr>
        <w:pStyle w:val="56"/>
        <w:ind w:firstLine="420"/>
      </w:pPr>
      <w:r>
        <w:rPr>
          <w:rFonts w:hint="eastAsia"/>
        </w:rPr>
        <w:t>本文件适用于非以酒精为单一原料进行发酵的酿造食醋含量的测定。</w:t>
      </w:r>
    </w:p>
    <w:p w14:paraId="6286C534">
      <w:pPr>
        <w:pStyle w:val="104"/>
        <w:spacing w:before="312" w:after="312"/>
      </w:pPr>
      <w:bookmarkStart w:id="43" w:name="_Toc26986772"/>
      <w:bookmarkStart w:id="44" w:name="_Toc97191424"/>
      <w:bookmarkStart w:id="45" w:name="_Toc26718931"/>
      <w:bookmarkStart w:id="46" w:name="_Toc192238650"/>
      <w:bookmarkStart w:id="47" w:name="_Toc26986531"/>
      <w:bookmarkStart w:id="48" w:name="_Toc192238668"/>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EF5F3C93DFDE478F9E0F32930B5C61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4BFAEA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E8C964">
      <w:pPr>
        <w:pStyle w:val="56"/>
        <w:ind w:firstLine="420"/>
        <w:rPr>
          <w:rFonts w:hint="eastAsia"/>
        </w:rPr>
      </w:pPr>
      <w:r>
        <w:rPr>
          <w:rFonts w:hint="eastAsia"/>
        </w:rPr>
        <w:t>GB/T  6682   分析实验室用水规格和试验方法</w:t>
      </w:r>
    </w:p>
    <w:p w14:paraId="20585CD0">
      <w:pPr>
        <w:pStyle w:val="56"/>
        <w:ind w:firstLine="420"/>
      </w:pPr>
      <w:r>
        <w:rPr>
          <w:rFonts w:hint="eastAsia"/>
        </w:rPr>
        <w:t xml:space="preserve">GB 5009.44 </w:t>
      </w:r>
      <w:r>
        <w:t xml:space="preserve">  </w:t>
      </w:r>
      <w:r>
        <w:rPr>
          <w:rFonts w:hint="eastAsia"/>
        </w:rPr>
        <w:t>食品安全国家标准 食品中氯化物的测定</w:t>
      </w:r>
    </w:p>
    <w:p w14:paraId="6277E5FF">
      <w:pPr>
        <w:pStyle w:val="104"/>
        <w:spacing w:before="312" w:after="312"/>
      </w:pPr>
      <w:bookmarkStart w:id="49" w:name="_Toc97191425"/>
      <w:bookmarkStart w:id="50" w:name="_Toc192238651"/>
      <w:bookmarkStart w:id="51" w:name="_Toc192238669"/>
      <w:r>
        <w:rPr>
          <w:rFonts w:hint="eastAsia"/>
          <w:szCs w:val="21"/>
        </w:rPr>
        <w:t>术语和定义</w:t>
      </w:r>
      <w:bookmarkEnd w:id="49"/>
      <w:bookmarkEnd w:id="50"/>
      <w:bookmarkEnd w:id="51"/>
    </w:p>
    <w:sdt>
      <w:sdtPr>
        <w:id w:val="-1909835108"/>
        <w:placeholder>
          <w:docPart w:val="E8235A9A417547178E0F8D165B3BB86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40B8AC">
          <w:pPr>
            <w:pStyle w:val="56"/>
            <w:ind w:firstLine="420"/>
          </w:pPr>
          <w:bookmarkStart w:id="52" w:name="_Toc26986532"/>
          <w:bookmarkEnd w:id="52"/>
          <w:r>
            <w:t>下列术语和定义适用于本文件。</w:t>
          </w:r>
        </w:p>
      </w:sdtContent>
    </w:sdt>
    <w:p w14:paraId="36BC00CB">
      <w:pPr>
        <w:pStyle w:val="105"/>
        <w:spacing w:before="156" w:after="156"/>
      </w:pPr>
      <w:bookmarkStart w:id="53" w:name="_Toc192238670"/>
      <w:r>
        <w:rPr>
          <w:rFonts w:hint="eastAsia"/>
        </w:rPr>
        <w:t>传统酿造食醋 traditional brewing vinegar</w:t>
      </w:r>
      <w:bookmarkEnd w:id="53"/>
    </w:p>
    <w:p w14:paraId="5F638BFE">
      <w:pPr>
        <w:pStyle w:val="56"/>
        <w:ind w:firstLine="420"/>
      </w:pPr>
      <w:r>
        <w:rPr>
          <w:rFonts w:hint="eastAsia"/>
        </w:rPr>
        <w:t>以粮食及其副产品、糖类为原料，采用固态发酵或液态发酵酿制而成的未经任何处理的食醋原液。</w:t>
      </w:r>
    </w:p>
    <w:p w14:paraId="008CE48F">
      <w:pPr>
        <w:pStyle w:val="104"/>
        <w:spacing w:before="312" w:after="312"/>
      </w:pPr>
      <w:bookmarkStart w:id="54" w:name="_Toc192238671"/>
      <w:bookmarkStart w:id="55" w:name="_Toc192238652"/>
      <w:r>
        <w:rPr>
          <w:rFonts w:hint="eastAsia"/>
        </w:rPr>
        <w:t>原理</w:t>
      </w:r>
      <w:bookmarkEnd w:id="54"/>
      <w:bookmarkEnd w:id="55"/>
    </w:p>
    <w:p w14:paraId="2F9B1A72">
      <w:pPr>
        <w:pStyle w:val="56"/>
        <w:ind w:firstLine="420"/>
        <w:rPr>
          <w:rFonts w:hint="eastAsia"/>
        </w:rPr>
      </w:pPr>
      <w:r>
        <w:rPr>
          <w:rFonts w:hint="eastAsia"/>
        </w:rPr>
        <w:t>以粮食及其副产品、糖类为原料经固态发酵法或液态发酵法酿制的食醋，除醋酸外，还含有丰富的 氨基酸、琥珀酸、葡萄酸、苹果酸、乳酸、B 族维生素及盐类等对身体有益的营养成分。这些物质能 作为振荡有机底物参与“ H++Mn2++BrO3-+丙酮 ”B-Z振荡反应体系，促使化学振荡的产生及维持。收集湖南省食醋生产企业的酿造食醋原液，构建不同酿造食醋含量的“ H++Mn2++BrO3-+丙酮 ”B-Z振荡体系的非线性化学指纹图谱库。测得食醋样品的非线性化学指纹图谱，提取振荡波数或振荡寿命等参数，与传统酿造食醋原液非线性化学指纹图谱库中的指纹图谱系列进行相似度计算，并依据匹配的图谱系列的振荡波数或振荡寿命与原液体积的关系曲线定量。</w:t>
      </w:r>
    </w:p>
    <w:p w14:paraId="32CAEFDE">
      <w:pPr>
        <w:pStyle w:val="104"/>
        <w:spacing w:before="312" w:after="312"/>
        <w:rPr>
          <w:rFonts w:hint="eastAsia"/>
        </w:rPr>
      </w:pPr>
      <w:bookmarkStart w:id="56" w:name="_Toc192238653"/>
      <w:bookmarkStart w:id="57" w:name="_Toc192238672"/>
      <w:r>
        <w:rPr>
          <w:rFonts w:hint="eastAsia"/>
        </w:rPr>
        <w:t>试剂与材料</w:t>
      </w:r>
      <w:bookmarkEnd w:id="56"/>
      <w:bookmarkEnd w:id="57"/>
    </w:p>
    <w:p w14:paraId="2D9D8ABA">
      <w:pPr>
        <w:pStyle w:val="105"/>
        <w:spacing w:before="156" w:after="156"/>
        <w:rPr>
          <w:rFonts w:hint="eastAsia"/>
        </w:rPr>
      </w:pPr>
      <w:bookmarkStart w:id="58" w:name="_Toc192238673"/>
      <w:r>
        <w:rPr>
          <w:rFonts w:hint="eastAsia"/>
        </w:rPr>
        <w:t>通用要求</w:t>
      </w:r>
      <w:bookmarkEnd w:id="58"/>
    </w:p>
    <w:p w14:paraId="4525AFB4">
      <w:pPr>
        <w:pStyle w:val="56"/>
        <w:ind w:firstLine="420"/>
        <w:rPr>
          <w:rFonts w:hint="eastAsia"/>
        </w:rPr>
      </w:pPr>
      <w:r>
        <w:rPr>
          <w:rFonts w:hint="eastAsia"/>
        </w:rPr>
        <w:t>除非另有说明，本方法所用试剂均为分析纯，水为 GB/T  6682 规定的一级水。</w:t>
      </w:r>
    </w:p>
    <w:p w14:paraId="7983AD39">
      <w:pPr>
        <w:pStyle w:val="105"/>
        <w:spacing w:before="156" w:after="156"/>
        <w:rPr>
          <w:rFonts w:hint="eastAsia"/>
        </w:rPr>
      </w:pPr>
      <w:bookmarkStart w:id="59" w:name="_Toc192238674"/>
      <w:r>
        <w:rPr>
          <w:rFonts w:hint="eastAsia"/>
        </w:rPr>
        <w:t>试剂</w:t>
      </w:r>
      <w:bookmarkEnd w:id="59"/>
    </w:p>
    <w:p w14:paraId="7CB9CE67">
      <w:pPr>
        <w:pStyle w:val="65"/>
        <w:spacing w:before="156" w:after="156"/>
        <w:rPr>
          <w:rFonts w:ascii="宋体" w:hAnsi="宋体" w:eastAsia="宋体"/>
        </w:rPr>
      </w:pPr>
      <w:r>
        <w:rPr>
          <w:rFonts w:hint="eastAsia" w:ascii="宋体" w:hAnsi="宋体" w:eastAsia="宋体"/>
        </w:rPr>
        <w:t>浓硫酸</w:t>
      </w:r>
      <w:r>
        <w:rPr>
          <w:rFonts w:ascii="宋体" w:hAnsi="宋体" w:eastAsia="宋体"/>
        </w:rPr>
        <w:t>(H</w:t>
      </w:r>
      <w:r>
        <w:rPr>
          <w:rFonts w:ascii="Times New Roman" w:eastAsia="宋体"/>
        </w:rPr>
        <w:t>₂</w:t>
      </w:r>
      <w:r>
        <w:rPr>
          <w:rFonts w:ascii="宋体" w:hAnsi="宋体" w:eastAsia="宋体"/>
        </w:rPr>
        <w:t>S0</w:t>
      </w:r>
      <w:r>
        <w:rPr>
          <w:rFonts w:ascii="Times New Roman" w:eastAsia="宋体"/>
        </w:rPr>
        <w:t>₄</w:t>
      </w:r>
      <w:r>
        <w:rPr>
          <w:rFonts w:ascii="宋体" w:hAnsi="宋体" w:eastAsia="宋体"/>
        </w:rPr>
        <w:t>)</w:t>
      </w:r>
      <w:r>
        <w:rPr>
          <w:rFonts w:hint="eastAsia" w:ascii="宋体" w:hAnsi="宋体" w:eastAsia="宋体"/>
        </w:rPr>
        <w:t>。</w:t>
      </w:r>
    </w:p>
    <w:p w14:paraId="30AFBE4E">
      <w:pPr>
        <w:pStyle w:val="65"/>
        <w:spacing w:before="156" w:after="156"/>
        <w:rPr>
          <w:rFonts w:hint="eastAsia" w:ascii="宋体" w:hAnsi="宋体" w:eastAsia="宋体"/>
        </w:rPr>
      </w:pPr>
      <w:r>
        <w:rPr>
          <w:rFonts w:hint="eastAsia" w:ascii="宋体" w:hAnsi="宋体" w:eastAsia="宋体"/>
        </w:rPr>
        <w:t>一水合硫酸锰(MnSO4.H2O)。</w:t>
      </w:r>
    </w:p>
    <w:p w14:paraId="6F165028">
      <w:pPr>
        <w:pStyle w:val="65"/>
        <w:spacing w:before="156" w:after="156"/>
        <w:rPr>
          <w:rFonts w:hint="eastAsia" w:ascii="宋体" w:hAnsi="宋体" w:eastAsia="宋体"/>
        </w:rPr>
      </w:pPr>
      <w:r>
        <w:rPr>
          <w:rFonts w:hint="eastAsia" w:ascii="宋体" w:hAnsi="宋体" w:eastAsia="宋体"/>
        </w:rPr>
        <w:t>丙酮(CH3COCH3)。</w:t>
      </w:r>
    </w:p>
    <w:p w14:paraId="4F1E473D">
      <w:pPr>
        <w:pStyle w:val="65"/>
        <w:spacing w:before="156" w:after="156"/>
        <w:rPr>
          <w:rFonts w:hint="eastAsia" w:ascii="宋体" w:hAnsi="宋体" w:eastAsia="宋体"/>
        </w:rPr>
      </w:pPr>
      <w:r>
        <w:rPr>
          <w:rFonts w:hint="eastAsia" w:ascii="宋体" w:hAnsi="宋体" w:eastAsia="宋体"/>
        </w:rPr>
        <w:t>溴酸钠(NaBrO3)。</w:t>
      </w:r>
    </w:p>
    <w:p w14:paraId="68F73B84">
      <w:pPr>
        <w:pStyle w:val="105"/>
        <w:spacing w:before="156" w:after="156"/>
        <w:rPr>
          <w:rFonts w:hint="eastAsia"/>
        </w:rPr>
      </w:pPr>
      <w:bookmarkStart w:id="60" w:name="_Toc192238675"/>
      <w:r>
        <w:rPr>
          <w:rFonts w:hint="eastAsia"/>
        </w:rPr>
        <w:t>试剂配制</w:t>
      </w:r>
      <w:bookmarkEnd w:id="60"/>
    </w:p>
    <w:p w14:paraId="73F9AABD">
      <w:pPr>
        <w:pStyle w:val="65"/>
        <w:spacing w:before="156" w:after="156"/>
        <w:rPr>
          <w:rFonts w:hint="eastAsia" w:ascii="宋体" w:hAnsi="宋体" w:eastAsia="宋体"/>
        </w:rPr>
      </w:pPr>
      <w:r>
        <w:rPr>
          <w:rFonts w:hint="eastAsia" w:ascii="宋体" w:hAnsi="宋体" w:eastAsia="宋体"/>
        </w:rPr>
        <w:t>硫酸溶液(1 mol/L):量取 54.4 mL 浓硫酸，用水稀释至 1000 mL。</w:t>
      </w:r>
    </w:p>
    <w:p w14:paraId="29885FBA">
      <w:pPr>
        <w:pStyle w:val="65"/>
        <w:spacing w:before="156" w:after="156"/>
        <w:rPr>
          <w:rFonts w:hint="eastAsia" w:ascii="宋体" w:hAnsi="宋体" w:eastAsia="宋体"/>
        </w:rPr>
      </w:pPr>
      <w:r>
        <w:rPr>
          <w:rFonts w:hint="eastAsia" w:ascii="宋体" w:hAnsi="宋体" w:eastAsia="宋体"/>
        </w:rPr>
        <w:t>硫酸锰溶液(0.015 moL/L):称取 2.535</w:t>
      </w:r>
      <w:r>
        <w:rPr>
          <w:rFonts w:ascii="宋体" w:hAnsi="宋体" w:eastAsia="宋体"/>
        </w:rPr>
        <w:t xml:space="preserve"> </w:t>
      </w:r>
      <w:r>
        <w:rPr>
          <w:rFonts w:hint="eastAsia" w:ascii="宋体" w:hAnsi="宋体" w:eastAsia="宋体"/>
        </w:rPr>
        <w:t>g 一水合硫酸锰，用 1 mol/L 硫酸溶液溶解，并稀释至1000 mL。</w:t>
      </w:r>
    </w:p>
    <w:p w14:paraId="5AF8EC6E">
      <w:pPr>
        <w:pStyle w:val="65"/>
        <w:spacing w:before="156" w:after="156"/>
        <w:rPr>
          <w:rFonts w:hint="eastAsia" w:ascii="宋体" w:hAnsi="宋体" w:eastAsia="宋体"/>
        </w:rPr>
      </w:pPr>
      <w:r>
        <w:rPr>
          <w:rFonts w:hint="eastAsia" w:ascii="宋体" w:hAnsi="宋体" w:eastAsia="宋体"/>
        </w:rPr>
        <w:t>丙酮溶液(10%, V/V):量取 50.0 mL 丙酮，用水稀释至 500 mL。</w:t>
      </w:r>
    </w:p>
    <w:p w14:paraId="0FEABC1C">
      <w:pPr>
        <w:pStyle w:val="65"/>
        <w:spacing w:before="156" w:after="156"/>
        <w:rPr>
          <w:rFonts w:hint="eastAsia" w:ascii="宋体" w:hAnsi="宋体" w:eastAsia="宋体"/>
        </w:rPr>
      </w:pPr>
      <w:r>
        <w:rPr>
          <w:rFonts w:hint="eastAsia" w:ascii="宋体" w:hAnsi="宋体" w:eastAsia="宋体"/>
        </w:rPr>
        <w:t>溴酸钠溶液(0.8 moL/L):称取 60.356 g 溴酸钠，用水溶解，并稀释至 500 mL。</w:t>
      </w:r>
    </w:p>
    <w:p w14:paraId="6BBC40AE">
      <w:pPr>
        <w:pStyle w:val="104"/>
        <w:spacing w:before="312" w:after="312"/>
        <w:rPr>
          <w:rFonts w:hint="eastAsia"/>
        </w:rPr>
      </w:pPr>
      <w:bookmarkStart w:id="61" w:name="_Toc192238676"/>
      <w:bookmarkStart w:id="62" w:name="_Toc192238654"/>
      <w:r>
        <w:rPr>
          <w:rFonts w:hint="eastAsia"/>
        </w:rPr>
        <w:t>仪器和设备</w:t>
      </w:r>
      <w:bookmarkEnd w:id="61"/>
      <w:bookmarkEnd w:id="62"/>
    </w:p>
    <w:p w14:paraId="2EF6F4DF">
      <w:pPr>
        <w:pStyle w:val="105"/>
        <w:spacing w:before="156" w:after="156"/>
        <w:rPr>
          <w:rFonts w:hint="eastAsia" w:ascii="宋体" w:hAnsi="宋体" w:eastAsia="宋体"/>
        </w:rPr>
      </w:pPr>
      <w:bookmarkStart w:id="63" w:name="_Toc192238677"/>
      <w:r>
        <w:rPr>
          <w:rFonts w:hint="eastAsia" w:ascii="宋体" w:hAnsi="宋体" w:eastAsia="宋体"/>
        </w:rPr>
        <w:t>非线性化学指纹图谱分析仪，配 217 型复合甘汞电极和 213 型金属铂电极。</w:t>
      </w:r>
      <w:bookmarkEnd w:id="63"/>
    </w:p>
    <w:p w14:paraId="13284E6C">
      <w:pPr>
        <w:pStyle w:val="105"/>
        <w:spacing w:before="156" w:after="156"/>
        <w:rPr>
          <w:rFonts w:hint="eastAsia" w:ascii="宋体" w:hAnsi="宋体" w:eastAsia="宋体"/>
        </w:rPr>
      </w:pPr>
      <w:bookmarkStart w:id="64" w:name="_Toc192238678"/>
      <w:r>
        <w:rPr>
          <w:rFonts w:hint="eastAsia" w:ascii="宋体" w:hAnsi="宋体" w:eastAsia="宋体"/>
        </w:rPr>
        <w:t>分析天平：感量 0.0001 g 和 0.001g。</w:t>
      </w:r>
      <w:bookmarkEnd w:id="64"/>
    </w:p>
    <w:p w14:paraId="762BA175">
      <w:pPr>
        <w:pStyle w:val="105"/>
        <w:spacing w:before="156" w:after="156"/>
        <w:rPr>
          <w:rFonts w:hint="eastAsia" w:ascii="宋体" w:hAnsi="宋体" w:eastAsia="宋体"/>
        </w:rPr>
      </w:pPr>
      <w:bookmarkStart w:id="65" w:name="_Toc192238679"/>
      <w:r>
        <w:rPr>
          <w:rFonts w:hint="eastAsia" w:ascii="宋体" w:hAnsi="宋体" w:eastAsia="宋体"/>
        </w:rPr>
        <w:t>自动电位滴定仪。</w:t>
      </w:r>
      <w:bookmarkEnd w:id="65"/>
    </w:p>
    <w:p w14:paraId="0102FE14">
      <w:pPr>
        <w:pStyle w:val="105"/>
        <w:spacing w:before="156" w:after="156"/>
        <w:rPr>
          <w:rFonts w:ascii="宋体" w:hAnsi="宋体" w:eastAsia="宋体"/>
        </w:rPr>
      </w:pPr>
      <w:bookmarkStart w:id="66" w:name="_Toc192238680"/>
      <w:r>
        <w:rPr>
          <w:rFonts w:hint="eastAsia" w:ascii="宋体" w:hAnsi="宋体" w:eastAsia="宋体"/>
        </w:rPr>
        <w:t>离心机。</w:t>
      </w:r>
      <w:bookmarkEnd w:id="66"/>
    </w:p>
    <w:p w14:paraId="4E863963">
      <w:pPr>
        <w:pStyle w:val="104"/>
        <w:spacing w:before="312" w:after="312"/>
        <w:rPr>
          <w:rFonts w:hint="eastAsia"/>
        </w:rPr>
      </w:pPr>
      <w:bookmarkStart w:id="67" w:name="_Toc192238681"/>
      <w:bookmarkStart w:id="68" w:name="_Toc192238655"/>
      <w:r>
        <w:rPr>
          <w:rFonts w:hint="eastAsia"/>
        </w:rPr>
        <w:t>分析步骤</w:t>
      </w:r>
      <w:bookmarkEnd w:id="67"/>
      <w:bookmarkEnd w:id="68"/>
    </w:p>
    <w:p w14:paraId="7142F9B1">
      <w:pPr>
        <w:pStyle w:val="105"/>
        <w:spacing w:before="156" w:after="156"/>
        <w:rPr>
          <w:rFonts w:hint="eastAsia"/>
        </w:rPr>
      </w:pPr>
      <w:bookmarkStart w:id="69" w:name="_Toc192238682"/>
      <w:r>
        <w:rPr>
          <w:rFonts w:hint="eastAsia"/>
        </w:rPr>
        <w:t>样品制备</w:t>
      </w:r>
      <w:bookmarkEnd w:id="69"/>
    </w:p>
    <w:p w14:paraId="438DFF5D">
      <w:pPr>
        <w:pStyle w:val="56"/>
        <w:ind w:firstLine="420"/>
        <w:rPr>
          <w:rFonts w:hint="eastAsia"/>
        </w:rPr>
      </w:pPr>
      <w:r>
        <w:rPr>
          <w:rFonts w:hint="eastAsia"/>
        </w:rPr>
        <w:t>取 2.0 mL 食醋样品于烧杯中， 按GB 5009.44自动电位滴定法测出食醋中NaCl的含量。准确量取 100 mL 食醋样本，加入适量硝酸银，并充分搅拌至恰好完全沉淀溶液中氯离子，离心，取上清液备用。</w:t>
      </w:r>
    </w:p>
    <w:p w14:paraId="7ACA36C4">
      <w:pPr>
        <w:pStyle w:val="105"/>
        <w:spacing w:before="156" w:after="156"/>
        <w:rPr>
          <w:rFonts w:hint="eastAsia"/>
        </w:rPr>
      </w:pPr>
      <w:bookmarkStart w:id="70" w:name="_Toc192238683"/>
      <w:r>
        <w:rPr>
          <w:rFonts w:hint="eastAsia"/>
        </w:rPr>
        <w:t>测定</w:t>
      </w:r>
      <w:bookmarkEnd w:id="70"/>
    </w:p>
    <w:p w14:paraId="002A5ECE">
      <w:pPr>
        <w:pStyle w:val="56"/>
        <w:ind w:firstLine="420"/>
      </w:pPr>
      <w:r>
        <w:rPr>
          <w:rFonts w:hint="eastAsia"/>
        </w:rPr>
        <w:t>向反应器中分别加入适量的食醋样品溶液，补齐水至 15mL。加入 25 mL 硫酸溶液(5.3.1)、8 mL 丙酮溶液(5.3.3) 和 10 mL 硫酸锰溶液(5.3.2)于反应器中，盖好带温度计、注射孔和电极的反应器盖。 开启超级恒温仪调节反应器内温度 为 37.0 ℃, 恒温，800r/min 恒速搅拌 5.0 min 时，通过注射器迅速加入 5.0 mL 溴酸钠溶液(5.3.4)， 即刻点击菜单采集数据，记录非线性化学指纹图谱至电位振荡消失并出现电位平衡曲线为止。</w:t>
      </w:r>
    </w:p>
    <w:p w14:paraId="6074EE3A">
      <w:pPr>
        <w:pStyle w:val="104"/>
        <w:spacing w:before="312" w:after="312"/>
        <w:rPr>
          <w:rFonts w:hint="eastAsia"/>
        </w:rPr>
      </w:pPr>
      <w:bookmarkStart w:id="71" w:name="_Toc192238656"/>
      <w:bookmarkStart w:id="72" w:name="_Toc192238684"/>
      <w:r>
        <w:rPr>
          <w:rFonts w:hint="eastAsia"/>
        </w:rPr>
        <w:t>结果计算</w:t>
      </w:r>
      <w:bookmarkEnd w:id="71"/>
      <w:bookmarkEnd w:id="72"/>
    </w:p>
    <w:p w14:paraId="1FD46A6F">
      <w:pPr>
        <w:pStyle w:val="56"/>
        <w:ind w:firstLine="420"/>
        <w:rPr>
          <w:rFonts w:hint="eastAsia"/>
        </w:rPr>
      </w:pPr>
      <w:r>
        <w:rPr>
          <w:rFonts w:hint="eastAsia"/>
        </w:rPr>
        <w:t>将检测数据导入非线性化学指纹图谱数据处理系统，提取其提取最低电位、峰顶电位、峰顶时间、诱导时间、起振电位、 振荡周期、振荡寿命、最大振幅、停振电位、停振时间和振荡波数等特征参数。计算该样品与标准图谱库（标准谱图库的建立方法：量取系列体积的传统酿造食醋置于体系中反应，按照第7章测定，获得相应的指纹图谱并进行等长等标准化处理，提取参数信息并拟合振荡波数或振荡寿命与原液体积的关系曲线和方程式。陈醋的非线性化学指纹图谱示例见附录A中的图A.1。）中该食醋生产企业传统酿造食醋原液非线性化学指纹图谱的整体相似度，匹配相似度最高的谱图，并进行直观比较。利用谱图库中传统酿造食醋原液系列指纹图谱振荡波数或振荡寿命与原液体积的关系曲线，获得样品中传统酿造食醋原液的体积，与取样体积之比即为试样中传统酿造食醋的含量。</w:t>
      </w:r>
    </w:p>
    <w:p w14:paraId="6E79D581">
      <w:pPr>
        <w:pStyle w:val="56"/>
        <w:ind w:firstLine="420"/>
      </w:pPr>
      <w:r>
        <w:rPr>
          <w:rFonts w:hint="eastAsia"/>
        </w:rPr>
        <w:t>试样中传统酿造食醋的含量按式（1）计算：</w:t>
      </w:r>
    </w:p>
    <w:p w14:paraId="7A85609E">
      <w:pPr>
        <w:spacing w:before="123"/>
        <w:ind w:left="3634"/>
        <w:rPr>
          <w:rFonts w:ascii="Times New Roman" w:hAnsi="Times New Roman" w:cs="宋体"/>
          <w:sz w:val="20"/>
          <w:szCs w:val="20"/>
        </w:rPr>
      </w:pPr>
      <w:r>
        <w:rPr>
          <w:rFonts w:ascii="Times New Roman" w:hAnsi="Times New Roman" w:eastAsia="Cambria Math" w:cs="Cambria Math"/>
          <w:spacing w:val="-5"/>
          <w:sz w:val="20"/>
          <w:szCs w:val="20"/>
        </w:rPr>
        <w:t>X</w:t>
      </w:r>
      <w:r>
        <w:rPr>
          <w:rFonts w:ascii="Times New Roman" w:hAnsi="Times New Roman" w:eastAsia="Cambria Math" w:cs="Cambria Math"/>
          <w:spacing w:val="27"/>
          <w:w w:val="101"/>
          <w:sz w:val="20"/>
          <w:szCs w:val="20"/>
        </w:rPr>
        <w:t xml:space="preserve"> </w:t>
      </w:r>
      <w:r>
        <w:rPr>
          <w:rFonts w:ascii="Times New Roman" w:hAnsi="Times New Roman" w:eastAsia="Cambria Math" w:cs="Cambria Math"/>
          <w:spacing w:val="-5"/>
          <w:sz w:val="20"/>
          <w:szCs w:val="20"/>
        </w:rPr>
        <w:t>=</w:t>
      </w:r>
      <w:r>
        <w:rPr>
          <w:rFonts w:ascii="Times New Roman" w:hAnsi="Times New Roman" w:eastAsia="Cambria Math" w:cs="Cambria Math"/>
          <w:spacing w:val="11"/>
          <w:sz w:val="20"/>
          <w:szCs w:val="20"/>
        </w:rPr>
        <w:t xml:space="preserve"> </w:t>
      </w:r>
      <w:r>
        <w:rPr>
          <w:rFonts w:ascii="Times New Roman" w:hAnsi="Times New Roman"/>
          <w:position w:val="-10"/>
          <w:sz w:val="20"/>
          <w:szCs w:val="20"/>
        </w:rPr>
        <w:drawing>
          <wp:inline distT="0" distB="0" distL="0" distR="0">
            <wp:extent cx="113665" cy="20891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6"/>
                    <a:stretch>
                      <a:fillRect/>
                    </a:stretch>
                  </pic:blipFill>
                  <pic:spPr>
                    <a:xfrm>
                      <a:off x="0" y="0"/>
                      <a:ext cx="113956" cy="209496"/>
                    </a:xfrm>
                    <a:prstGeom prst="rect">
                      <a:avLst/>
                    </a:prstGeom>
                  </pic:spPr>
                </pic:pic>
              </a:graphicData>
            </a:graphic>
          </wp:inline>
        </w:drawing>
      </w:r>
      <w:r>
        <w:rPr>
          <w:rFonts w:ascii="Times New Roman" w:hAnsi="Times New Roman" w:eastAsia="Cambria Math" w:cs="Cambria Math"/>
          <w:spacing w:val="13"/>
          <w:sz w:val="20"/>
          <w:szCs w:val="20"/>
        </w:rPr>
        <w:t xml:space="preserve"> </w:t>
      </w:r>
      <w:r>
        <w:rPr>
          <w:rFonts w:ascii="Times New Roman" w:hAnsi="Times New Roman" w:eastAsia="Cambria Math" w:cs="Cambria Math"/>
          <w:spacing w:val="-5"/>
          <w:sz w:val="20"/>
          <w:szCs w:val="20"/>
        </w:rPr>
        <w:t>×</w:t>
      </w:r>
      <w:r>
        <w:rPr>
          <w:rFonts w:ascii="Times New Roman" w:hAnsi="Times New Roman" w:eastAsia="Cambria Math" w:cs="Cambria Math"/>
          <w:spacing w:val="22"/>
          <w:sz w:val="20"/>
          <w:szCs w:val="20"/>
        </w:rPr>
        <w:t xml:space="preserve"> </w:t>
      </w:r>
      <w:r>
        <w:rPr>
          <w:rFonts w:ascii="Times New Roman" w:hAnsi="Times New Roman" w:eastAsia="Cambria Math" w:cs="Cambria Math"/>
          <w:spacing w:val="-5"/>
          <w:sz w:val="20"/>
          <w:szCs w:val="20"/>
        </w:rPr>
        <w:t>1</w:t>
      </w:r>
      <w:r>
        <w:rPr>
          <w:rFonts w:ascii="Times New Roman" w:hAnsi="Times New Roman" w:eastAsia="Calibri" w:cs="Calibri"/>
          <w:i/>
          <w:iCs/>
          <w:spacing w:val="-5"/>
          <w:sz w:val="20"/>
          <w:szCs w:val="20"/>
        </w:rPr>
        <w:t>00</w:t>
      </w:r>
      <w:r>
        <w:rPr>
          <w:rFonts w:ascii="Times New Roman" w:hAnsi="Times New Roman" w:cs="宋体"/>
          <w:spacing w:val="-5"/>
          <w:sz w:val="20"/>
          <w:szCs w:val="20"/>
        </w:rPr>
        <w:t xml:space="preserve">  </w:t>
      </w:r>
      <w:r>
        <w:rPr>
          <w:rFonts w:hint="eastAsia" w:hAnsi="宋体" w:cs="宋体"/>
          <w:color w:val="auto"/>
        </w:rPr>
        <w:t>……………………………………（1）</w:t>
      </w:r>
    </w:p>
    <w:p w14:paraId="58097D56">
      <w:pPr>
        <w:pStyle w:val="56"/>
        <w:ind w:firstLine="420"/>
        <w:rPr>
          <w:rFonts w:hint="eastAsia"/>
        </w:rPr>
      </w:pPr>
      <w:r>
        <w:rPr>
          <w:rFonts w:hint="eastAsia"/>
        </w:rPr>
        <w:t>式中：</w:t>
      </w:r>
    </w:p>
    <w:p w14:paraId="04C09161">
      <w:pPr>
        <w:pStyle w:val="56"/>
        <w:ind w:firstLine="420"/>
        <w:rPr>
          <w:rFonts w:hint="eastAsia"/>
        </w:rPr>
      </w:pPr>
      <w:r>
        <w:rPr>
          <w:rFonts w:hint="eastAsia"/>
        </w:rPr>
        <w:t>X      ——试样中传统酿造食醋的含量，单位为%;</w:t>
      </w:r>
    </w:p>
    <w:p w14:paraId="30431084">
      <w:pPr>
        <w:pStyle w:val="56"/>
        <w:ind w:firstLine="420"/>
        <w:rPr>
          <w:rFonts w:hint="eastAsia"/>
        </w:rPr>
      </w:pPr>
      <w:r>
        <w:rPr>
          <w:rFonts w:hint="eastAsia"/>
        </w:rPr>
        <w:t xml:space="preserve">V </w:t>
      </w:r>
      <w:r>
        <w:rPr>
          <w:rFonts w:hint="eastAsia"/>
          <w:vertAlign w:val="subscript"/>
        </w:rPr>
        <w:t xml:space="preserve">1 </w:t>
      </w:r>
      <w:r>
        <w:rPr>
          <w:rFonts w:hint="eastAsia"/>
        </w:rPr>
        <w:t xml:space="preserve">    ——测定用样液中传统酿造食醋的含量，单位为毫升 (mL);</w:t>
      </w:r>
    </w:p>
    <w:p w14:paraId="2662672B">
      <w:pPr>
        <w:pStyle w:val="56"/>
        <w:ind w:firstLine="420"/>
        <w:rPr>
          <w:rFonts w:hint="eastAsia"/>
        </w:rPr>
      </w:pPr>
      <w:r>
        <w:rPr>
          <w:rFonts w:hint="eastAsia"/>
        </w:rPr>
        <w:t>V      ——试样体积 ，单位为毫升 (mL);</w:t>
      </w:r>
      <w:bookmarkStart w:id="81" w:name="_GoBack"/>
      <w:bookmarkEnd w:id="81"/>
    </w:p>
    <w:p w14:paraId="124D5460">
      <w:pPr>
        <w:pStyle w:val="56"/>
        <w:ind w:firstLine="420"/>
      </w:pPr>
      <w:r>
        <w:rPr>
          <w:rFonts w:hint="eastAsia"/>
        </w:rPr>
        <w:t>结果保留 3 位有效数字。</w:t>
      </w:r>
    </w:p>
    <w:p w14:paraId="42F2473C">
      <w:pPr>
        <w:pStyle w:val="104"/>
        <w:spacing w:before="312" w:after="312"/>
        <w:rPr>
          <w:rFonts w:hint="eastAsia"/>
        </w:rPr>
      </w:pPr>
      <w:bookmarkStart w:id="73" w:name="_Toc192238657"/>
      <w:bookmarkStart w:id="74" w:name="_Toc192238685"/>
      <w:r>
        <w:rPr>
          <w:rFonts w:hint="eastAsia"/>
        </w:rPr>
        <w:t>精密度</w:t>
      </w:r>
      <w:bookmarkEnd w:id="73"/>
      <w:bookmarkEnd w:id="74"/>
    </w:p>
    <w:p w14:paraId="4EDBD70C">
      <w:pPr>
        <w:pStyle w:val="56"/>
        <w:ind w:firstLine="420"/>
      </w:pPr>
      <w:r>
        <w:rPr>
          <w:rFonts w:hint="eastAsia"/>
        </w:rPr>
        <w:t>在重复性条件下获得的两次独立测定结果的绝对差值不得超过算术平均值的 10%。</w:t>
      </w:r>
    </w:p>
    <w:p w14:paraId="65020750">
      <w:pPr>
        <w:pStyle w:val="56"/>
        <w:ind w:firstLine="420"/>
        <w:rPr>
          <w:rFonts w:hint="eastAsia"/>
        </w:rPr>
      </w:pPr>
    </w:p>
    <w:p w14:paraId="78FCCF97">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5"/>
    <w:p w14:paraId="2165433E">
      <w:pPr>
        <w:pStyle w:val="198"/>
        <w:rPr>
          <w:rFonts w:hint="eastAsia"/>
        </w:rPr>
      </w:pPr>
      <w:bookmarkStart w:id="75" w:name="BookMark5"/>
    </w:p>
    <w:p w14:paraId="1E5BB328">
      <w:pPr>
        <w:pStyle w:val="199"/>
        <w:rPr>
          <w:rFonts w:hint="eastAsia"/>
        </w:rPr>
      </w:pPr>
    </w:p>
    <w:p w14:paraId="662D1B99">
      <w:pPr>
        <w:pStyle w:val="76"/>
        <w:spacing w:after="156"/>
        <w:rPr>
          <w:rFonts w:hint="eastAsia"/>
        </w:rPr>
      </w:pPr>
      <w:r>
        <w:br w:type="textWrapping"/>
      </w:r>
      <w:bookmarkStart w:id="76" w:name="_Toc192238686"/>
      <w:bookmarkStart w:id="77" w:name="_Toc192238658"/>
      <w:r>
        <w:rPr>
          <w:rFonts w:hint="eastAsia"/>
        </w:rPr>
        <w:t>（资料性）</w:t>
      </w:r>
      <w:r>
        <w:br w:type="textWrapping"/>
      </w:r>
      <w:r>
        <w:rPr>
          <w:rFonts w:hint="eastAsia"/>
        </w:rPr>
        <w:t>陈醋的非线性化学指纹图谱示例</w:t>
      </w:r>
      <w:bookmarkEnd w:id="76"/>
      <w:bookmarkEnd w:id="77"/>
    </w:p>
    <w:p w14:paraId="0CF2A6BF">
      <w:pPr>
        <w:pStyle w:val="56"/>
        <w:ind w:firstLine="420"/>
        <w:rPr>
          <w:rFonts w:hint="eastAsia"/>
        </w:rPr>
      </w:pPr>
      <w:r>
        <w:drawing>
          <wp:inline distT="0" distB="0" distL="114300" distR="114300">
            <wp:extent cx="5271770" cy="35210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271770" cy="3521075"/>
                    </a:xfrm>
                    <a:prstGeom prst="rect">
                      <a:avLst/>
                    </a:prstGeom>
                    <a:noFill/>
                    <a:ln>
                      <a:noFill/>
                    </a:ln>
                  </pic:spPr>
                </pic:pic>
              </a:graphicData>
            </a:graphic>
          </wp:inline>
        </w:drawing>
      </w:r>
    </w:p>
    <w:p w14:paraId="1443C53D">
      <w:pPr>
        <w:pStyle w:val="56"/>
        <w:ind w:firstLine="433"/>
        <w:jc w:val="center"/>
        <w:rPr>
          <w:rFonts w:hint="eastAsia" w:ascii="黑体" w:hAnsi="黑体" w:eastAsia="黑体" w:cs="黑体"/>
          <w:b w:val="0"/>
          <w:bCs w:val="0"/>
        </w:rPr>
      </w:pPr>
      <w:r>
        <w:rPr>
          <w:rFonts w:hint="eastAsia" w:ascii="黑体" w:hAnsi="黑体" w:eastAsia="黑体" w:cs="黑体"/>
          <w:b w:val="0"/>
          <w:bCs w:val="0"/>
          <w:spacing w:val="13"/>
          <w:sz w:val="19"/>
          <w:szCs w:val="19"/>
        </w:rPr>
        <w:t xml:space="preserve">图A.1    </w:t>
      </w:r>
      <w:r>
        <w:rPr>
          <w:rFonts w:hint="eastAsia" w:ascii="黑体" w:hAnsi="黑体" w:eastAsia="黑体" w:cs="黑体"/>
          <w:b w:val="0"/>
          <w:bCs w:val="0"/>
        </w:rPr>
        <w:t xml:space="preserve"> </w:t>
      </w:r>
      <w:r>
        <w:rPr>
          <w:rFonts w:hint="eastAsia" w:ascii="黑体" w:hAnsi="黑体" w:eastAsia="黑体" w:cs="黑体"/>
          <w:b w:val="0"/>
          <w:bCs w:val="0"/>
          <w:spacing w:val="13"/>
          <w:sz w:val="19"/>
          <w:szCs w:val="19"/>
        </w:rPr>
        <w:t>加入不同体积陈醋至反应体系的非线性化学指纹图谱</w:t>
      </w:r>
    </w:p>
    <w:p w14:paraId="76069388">
      <w:pPr>
        <w:pStyle w:val="56"/>
        <w:ind w:firstLine="420"/>
      </w:pPr>
    </w:p>
    <w:p w14:paraId="270F90D8">
      <w:pPr>
        <w:pStyle w:val="56"/>
        <w:ind w:firstLine="420"/>
      </w:pPr>
    </w:p>
    <w:p w14:paraId="48CD1E54">
      <w:pPr>
        <w:pStyle w:val="56"/>
        <w:ind w:firstLine="420"/>
      </w:pPr>
    </w:p>
    <w:p w14:paraId="0423D84F">
      <w:pPr>
        <w:pStyle w:val="56"/>
        <w:ind w:firstLine="420"/>
        <w:rPr>
          <w:rFonts w:hint="eastAsia"/>
        </w:rPr>
      </w:pPr>
    </w:p>
    <w:p w14:paraId="23D8A265">
      <w:pPr>
        <w:pStyle w:val="56"/>
        <w:ind w:firstLine="420"/>
        <w:rPr>
          <w:rFonts w:hint="eastAsia"/>
          <w:u w:val="single"/>
        </w:rPr>
      </w:pPr>
      <w:r>
        <w:t xml:space="preserve">                            </w:t>
      </w:r>
      <w:r>
        <w:rPr>
          <w:u w:val="single"/>
        </w:rPr>
        <w:t xml:space="preserve">                         </w:t>
      </w:r>
    </w:p>
    <w:bookmarkEnd w:id="75"/>
    <w:p w14:paraId="4A4E4C6D">
      <w:pPr>
        <w:pStyle w:val="56"/>
        <w:ind w:firstLine="420"/>
        <w:sectPr>
          <w:pgSz w:w="11906" w:h="16838"/>
          <w:pgMar w:top="1928" w:right="1134" w:bottom="1134" w:left="1134" w:header="1418" w:footer="1134" w:gutter="284"/>
          <w:cols w:space="425" w:num="1"/>
          <w:formProt w:val="0"/>
          <w:docGrid w:type="lines" w:linePitch="312" w:charSpace="0"/>
        </w:sectPr>
      </w:pPr>
      <w:bookmarkStart w:id="78" w:name="BookMark6"/>
      <w:r>
        <w:rPr>
          <w:rFonts w:hint="eastAsia"/>
        </w:rPr>
        <w:t xml:space="preserve"> </w:t>
      </w:r>
      <w:r>
        <w:t xml:space="preserve"> </w:t>
      </w:r>
    </w:p>
    <w:p w14:paraId="5D6C8EEF">
      <w:pPr>
        <w:pStyle w:val="63"/>
        <w:spacing w:after="156"/>
        <w:rPr>
          <w:rFonts w:hint="eastAsia"/>
        </w:rPr>
      </w:pPr>
      <w:bookmarkStart w:id="79" w:name="_Toc192238659"/>
      <w:bookmarkStart w:id="80" w:name="_Toc192238687"/>
      <w:r>
        <w:rPr>
          <w:rFonts w:hint="eastAsia"/>
          <w:spacing w:val="105"/>
        </w:rPr>
        <w:t>参考文</w:t>
      </w:r>
      <w:r>
        <w:rPr>
          <w:rFonts w:hint="eastAsia"/>
        </w:rPr>
        <w:t>献</w:t>
      </w:r>
      <w:bookmarkEnd w:id="79"/>
      <w:bookmarkEnd w:id="80"/>
    </w:p>
    <w:p w14:paraId="5680D639">
      <w:pPr>
        <w:pStyle w:val="56"/>
        <w:ind w:firstLine="420"/>
        <w:rPr>
          <w:rFonts w:hint="eastAsia"/>
        </w:rPr>
      </w:pPr>
      <w:r>
        <w:rPr>
          <w:rFonts w:hint="eastAsia"/>
        </w:rPr>
        <w:t>[1]非线性化学指纹图谱技术在食醋鉴别中的应用研究《食品与机械》2014年第30卷第5期。</w:t>
      </w:r>
    </w:p>
    <w:p w14:paraId="3F4BD5FA">
      <w:pPr>
        <w:pStyle w:val="56"/>
        <w:ind w:firstLine="420"/>
        <w:rPr>
          <w:rFonts w:hint="eastAsia"/>
        </w:rPr>
      </w:pPr>
      <w:r>
        <w:rPr>
          <w:rFonts w:hint="eastAsia"/>
        </w:rPr>
        <w:t>[2]食醋非线性化学指纹图谱掺伪鉴别原理的研究《食品与机械》2012年第28卷第1期.</w:t>
      </w:r>
    </w:p>
    <w:p w14:paraId="33466BFA">
      <w:pPr>
        <w:pStyle w:val="56"/>
        <w:ind w:firstLine="420"/>
        <w:rPr>
          <w:rFonts w:hint="eastAsia"/>
        </w:rPr>
      </w:pPr>
    </w:p>
    <w:p w14:paraId="2D781925">
      <w:pPr>
        <w:pStyle w:val="56"/>
        <w:ind w:firstLine="420"/>
        <w:rPr>
          <w:rFonts w:hint="eastAsia"/>
        </w:rPr>
      </w:pPr>
    </w:p>
    <w:p w14:paraId="48A31BF1">
      <w:pPr>
        <w:pStyle w:val="56"/>
        <w:ind w:firstLine="420"/>
        <w:rPr>
          <w:rFonts w:hint="eastAsia"/>
        </w:rPr>
      </w:pPr>
    </w:p>
    <w:bookmarkEnd w:id="78"/>
    <w:p w14:paraId="571C0104">
      <w:pPr>
        <w:pStyle w:val="56"/>
        <w:ind w:firstLine="420"/>
        <w:rPr>
          <w:rFonts w:hint="eastAsia"/>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1D83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04F1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F72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61098">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1F09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5D1C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31B5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812CC">
    <w:pPr>
      <w:pStyle w:val="61"/>
    </w:pPr>
    <w:r>
      <w:fldChar w:fldCharType="begin"/>
    </w:r>
    <w:r>
      <w:instrText xml:space="preserve"> STYLEREF  标准文件_文件编号  \* MERGEFORMAT </w:instrText>
    </w:r>
    <w:r>
      <w:fldChar w:fldCharType="separate"/>
    </w:r>
    <w:r>
      <w:t>DB XX/T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DB1E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ezuoNYYpfhIP06j97fHiWKEB0Brz2eHoqOzyOZX9baxSFbZXW0HuoEqBtR1GbWzysRiFiD5Lm48tgCjnIRS1Mw==" w:salt="BJQi5O8O35Upq47Mi7KHs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A1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0E9"/>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5B4"/>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1C"/>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A06"/>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65A3DF5"/>
    <w:rsid w:val="41284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emf"/><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AF8FC7E57E4F6BA5391515099C556D"/>
        <w:style w:val=""/>
        <w:category>
          <w:name w:val="常规"/>
          <w:gallery w:val="placeholder"/>
        </w:category>
        <w:types>
          <w:type w:val="bbPlcHdr"/>
        </w:types>
        <w:behaviors>
          <w:behavior w:val="content"/>
        </w:behaviors>
        <w:description w:val=""/>
        <w:guid w:val="{AFDB1291-9872-416F-9273-17481610907A}"/>
      </w:docPartPr>
      <w:docPartBody>
        <w:p w14:paraId="7032D1C0">
          <w:pPr>
            <w:pStyle w:val="5"/>
          </w:pPr>
          <w:r>
            <w:rPr>
              <w:rStyle w:val="4"/>
              <w:rFonts w:hint="eastAsia"/>
            </w:rPr>
            <w:t>单击或点击此处输入文字。</w:t>
          </w:r>
        </w:p>
      </w:docPartBody>
    </w:docPart>
    <w:docPart>
      <w:docPartPr>
        <w:name w:val="EF5F3C93DFDE478F9E0F32930B5C6180"/>
        <w:style w:val=""/>
        <w:category>
          <w:name w:val="常规"/>
          <w:gallery w:val="placeholder"/>
        </w:category>
        <w:types>
          <w:type w:val="bbPlcHdr"/>
        </w:types>
        <w:behaviors>
          <w:behavior w:val="content"/>
        </w:behaviors>
        <w:description w:val=""/>
        <w:guid w:val="{EE995E7D-2E4B-4063-931A-C404BAF04332}"/>
      </w:docPartPr>
      <w:docPartBody>
        <w:p w14:paraId="2E8AEB05">
          <w:pPr>
            <w:pStyle w:val="6"/>
          </w:pPr>
          <w:r>
            <w:rPr>
              <w:rStyle w:val="4"/>
              <w:rFonts w:hint="eastAsia"/>
            </w:rPr>
            <w:t>选择一项。</w:t>
          </w:r>
        </w:p>
      </w:docPartBody>
    </w:docPart>
    <w:docPart>
      <w:docPartPr>
        <w:name w:val="E8235A9A417547178E0F8D165B3BB86B"/>
        <w:style w:val=""/>
        <w:category>
          <w:name w:val="常规"/>
          <w:gallery w:val="placeholder"/>
        </w:category>
        <w:types>
          <w:type w:val="bbPlcHdr"/>
        </w:types>
        <w:behaviors>
          <w:behavior w:val="content"/>
        </w:behaviors>
        <w:description w:val=""/>
        <w:guid w:val="{7C1A342C-D541-43B0-8277-C2B81E389432}"/>
      </w:docPartPr>
      <w:docPartBody>
        <w:p w14:paraId="36DBA17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62"/>
    <w:rsid w:val="00BB5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CCAF8FC7E57E4F6BA5391515099C556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F5F3C93DFDE478F9E0F32930B5C618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8235A9A417547178E0F8D165B3BB86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240515-2775-461B-8F66-475074001AB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2075</Words>
  <Characters>2496</Characters>
  <Lines>409</Lines>
  <Paragraphs>368</Paragraphs>
  <TotalTime>0</TotalTime>
  <ScaleCrop>false</ScaleCrop>
  <LinksUpToDate>false</LinksUpToDate>
  <CharactersWithSpaces>2790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2025-03-07T03:02:00Z</dcterms:created>
  <dc:creator>微软用户</dc:creator>
  <dc:description>&lt;config cover="true" show_menu="true" version="1.0.0" doctype="SDKXY"&gt;_x000d_
&lt;/config&gt;</dc:description>
  <cp:lastModifiedBy>欢</cp:lastModifiedBy>
  <cp:lastPrinted>2020-08-30T10:00:00Z</cp:lastPrinted>
  <dcterms:modified xsi:type="dcterms:W3CDTF">2025-03-07T06:18:27Z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eyJoZGlkIjoiOTFkYjRjMDg1NTU5YzQyNmNiMzJjZjA4NDUxNGY4NzEiLCJ1c2VySWQiOiI0OTQ1MDM4MDUifQ==</vt:lpwstr>
  </property>
  <property fmtid="{D5CDD505-2E9C-101B-9397-08002B2CF9AE}" pid="15" name="KSOProductBuildVer">
    <vt:lpwstr>2052-12.1.0.20305</vt:lpwstr>
  </property>
  <property fmtid="{D5CDD505-2E9C-101B-9397-08002B2CF9AE}" pid="16" name="ICV">
    <vt:lpwstr>193232025420478F862D52926CE7AE09_12</vt:lpwstr>
  </property>
</Properties>
</file>